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spacing w:line="360" w:lineRule="auto"/>
        <w:ind w:left="102" w:leftChars="0" w:hanging="102" w:firstLineChars="0"/>
        <w:jc w:val="center"/>
        <w:outlineLvl w:val="1"/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</w:rPr>
        <w:t>评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</w:rPr>
        <w:t>分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</w:rPr>
        <w:t>细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2"/>
        </w:rPr>
        <w:t>则</w:t>
      </w:r>
    </w:p>
    <w:tbl>
      <w:tblPr>
        <w:tblStyle w:val="7"/>
        <w:tblW w:w="55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52"/>
        <w:gridCol w:w="751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因素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计分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因素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价格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投标报价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满足采购文件要求且报价最低的供应商的价格为基准价，其价格分为满分30分。其它供应商的价格分统一按照下列公式计算：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报价得分=（基准价/投标报价）×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对成品油行业服务管理平台建设的理解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阐述对建设内容中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成品油行业服务管理平台的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构想。根据本项目建设内容，至少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包含数据采集、统计分析、实施监控、预警应急、安全监管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建设构想。分析详细，能够有力支撑相关实战应用，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前端采集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监管设备类别、规模分析详实，能够有力支撑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商务等部门监管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的，符合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成品油行业运行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现状和业务发展的，得1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分； 对建设内容中的构想有漏项，未完全包含上述内容，但有一定的针对性，得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分； 对建设内容中的构想，分析不够全面详实，建设的构想脱离项目实际，针对性差距较大，得0分。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设计咨询服务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方案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总体设计咨询方案，至少包含咨询总体设计思路、咨询方法、咨询工作目标、内容、措施等。咨询总体设计思路和方法有系统性，咨询工作在目标、内容、深度、措施等方面合理和有针对性。设计思路清晰，工作方案科学合理，完全符合项目实际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分；咨询总体设计思路和方法有一定系统性，咨询工作在目标、内容、深度、措施等方面有合理性和针对性，方案基本符合项目实际，得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分；总体咨询方案有漏项，未完全包含上述内容，但有一定的针对性，得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分；总体设计咨询方案脱离项目实际，针对性差距较大，得0分。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实施方案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实施方案内容包含但不限于如下内容：项目实施计划、项目实施进度及保障措施等内容。实施方案科学周密，实施过程控制、组织架构、文档管理、进度安排、验收安排等完全契合项目需求实际，计划措施针对性可行性强，工作进度安排科学合理，完全契合项目设计要求、实施要求、实施进度要求及交付物要求等，得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分；实施方案内容全面，实施过程控制、组织架构、文档管理、进度安排、验收安排等基本满足项目需求实际，工作进度安排基本合理，可以满足项目设计要求、实施要求、实施进度要求及交付物要求等，得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分；实施方案内容有漏项，未完全包含项目实施计划、项目实施进度及保障措施等内容，得0分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服务团队综合能力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实施团队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注册咨询工程师、高级工程师职称，每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个人员计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本项最多计3分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实施团队中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人社部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核发的信息系统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项目管理师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,每个人员计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本项最多计2分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.供应商具备住建部颁发的工程设计资质证书，资质等级为电子通信广电行业（电子系统工程）专业设计资质甲级计5分，乙级计3分，其他不计分。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以上人员不得重复，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提供证书复印件并加盖公章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和相关人员在投标单位近三个月的社保证明，否则不计分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提供自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信息化系统设计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服务类项目，每个计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分，最高计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分(提供合同复印件作为证明材料，未提供的不计分。以上材料如提供的复印件不清晰或缺漏的不予计分)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100分</w:t>
            </w:r>
          </w:p>
        </w:tc>
        <w:tc>
          <w:tcPr>
            <w:tcW w:w="3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0A2B6A66"/>
    <w:rsid w:val="0A2B6A66"/>
    <w:rsid w:val="718A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1352</Characters>
  <Lines>0</Lines>
  <Paragraphs>0</Paragraphs>
  <TotalTime>1</TotalTime>
  <ScaleCrop>false</ScaleCrop>
  <LinksUpToDate>false</LinksUpToDate>
  <CharactersWithSpaces>1360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2023-05-30T01:21:00Z</dcterms:created>
  <dc:creator>陈建才</dc:creator>
  <cp:lastModifiedBy>陈建才</cp:lastModifiedBy>
  <dcterms:modified xsi:type="dcterms:W3CDTF">2023-05-30T08:42:01Z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327D9CB3502644FDBD22C0BA17384C39_11</vt:lpwstr>
  </property>
</Properties>
</file>