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市商务系统2020年安全生产工作考核细则</w:t>
      </w:r>
    </w:p>
    <w:tbl>
      <w:tblPr>
        <w:tblStyle w:val="6"/>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6703"/>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jc w:val="center"/>
              <w:rPr>
                <w:rFonts w:hint="eastAsia" w:ascii="黑体" w:hAnsi="宋体" w:eastAsia="黑体"/>
                <w:b/>
                <w:sz w:val="24"/>
              </w:rPr>
            </w:pPr>
            <w:r>
              <w:rPr>
                <w:rFonts w:hint="eastAsia" w:ascii="黑体" w:hAnsi="宋体" w:eastAsia="黑体"/>
                <w:b/>
                <w:sz w:val="24"/>
              </w:rPr>
              <w:t>序号</w:t>
            </w:r>
          </w:p>
        </w:tc>
        <w:tc>
          <w:tcPr>
            <w:tcW w:w="6703" w:type="dxa"/>
            <w:noWrap w:val="0"/>
            <w:vAlign w:val="center"/>
          </w:tcPr>
          <w:p>
            <w:pPr>
              <w:jc w:val="center"/>
              <w:rPr>
                <w:rFonts w:hint="eastAsia" w:ascii="黑体" w:hAnsi="宋体" w:eastAsia="黑体"/>
                <w:b/>
                <w:sz w:val="24"/>
              </w:rPr>
            </w:pPr>
            <w:r>
              <w:rPr>
                <w:rFonts w:hint="eastAsia" w:ascii="黑体" w:hAnsi="宋体" w:eastAsia="黑体"/>
                <w:b/>
                <w:sz w:val="24"/>
              </w:rPr>
              <w:t>评分标准</w:t>
            </w:r>
          </w:p>
        </w:tc>
        <w:tc>
          <w:tcPr>
            <w:tcW w:w="720" w:type="dxa"/>
            <w:noWrap w:val="0"/>
            <w:vAlign w:val="center"/>
          </w:tcPr>
          <w:p>
            <w:pPr>
              <w:jc w:val="center"/>
              <w:rPr>
                <w:rFonts w:hint="eastAsia" w:ascii="黑体" w:hAnsi="宋体" w:eastAsia="黑体"/>
                <w:b/>
                <w:sz w:val="24"/>
              </w:rPr>
            </w:pPr>
            <w:r>
              <w:rPr>
                <w:rFonts w:hint="eastAsia" w:ascii="黑体" w:hAnsi="宋体" w:eastAsia="黑体"/>
                <w:b/>
                <w:sz w:val="24"/>
              </w:rPr>
              <w:t>扣分</w:t>
            </w:r>
          </w:p>
        </w:tc>
        <w:tc>
          <w:tcPr>
            <w:tcW w:w="720" w:type="dxa"/>
            <w:noWrap w:val="0"/>
            <w:vAlign w:val="center"/>
          </w:tcPr>
          <w:p>
            <w:pPr>
              <w:jc w:val="center"/>
              <w:rPr>
                <w:rFonts w:hint="eastAsia" w:ascii="黑体" w:hAnsi="宋体" w:eastAsia="黑体"/>
                <w:b/>
                <w:sz w:val="24"/>
              </w:rPr>
            </w:pPr>
            <w:r>
              <w:rPr>
                <w:rFonts w:hint="eastAsia" w:ascii="黑体" w:hAnsi="宋体" w:eastAsia="黑体"/>
                <w:b/>
                <w:sz w:val="24"/>
              </w:rPr>
              <w:t>得分</w:t>
            </w:r>
          </w:p>
        </w:tc>
        <w:tc>
          <w:tcPr>
            <w:tcW w:w="720" w:type="dxa"/>
            <w:noWrap w:val="0"/>
            <w:vAlign w:val="center"/>
          </w:tcPr>
          <w:p>
            <w:pPr>
              <w:jc w:val="center"/>
              <w:rPr>
                <w:rFonts w:hint="eastAsia" w:ascii="黑体" w:hAnsi="宋体" w:eastAsia="黑体"/>
                <w:b/>
                <w:sz w:val="24"/>
              </w:rPr>
            </w:pPr>
            <w:r>
              <w:rPr>
                <w:rFonts w:hint="eastAsia" w:ascii="黑体" w:hAnsi="宋体" w:eastAsia="黑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48" w:type="dxa"/>
            <w:noWrap w:val="0"/>
            <w:vAlign w:val="center"/>
          </w:tcPr>
          <w:p>
            <w:pPr>
              <w:pStyle w:val="4"/>
              <w:jc w:val="center"/>
              <w:rPr>
                <w:rFonts w:hint="eastAsia"/>
                <w:sz w:val="28"/>
                <w:szCs w:val="28"/>
              </w:rPr>
            </w:pPr>
            <w:r>
              <w:rPr>
                <w:rFonts w:hint="eastAsia"/>
                <w:sz w:val="28"/>
                <w:szCs w:val="28"/>
              </w:rPr>
              <w:t>1</w:t>
            </w:r>
          </w:p>
        </w:tc>
        <w:tc>
          <w:tcPr>
            <w:tcW w:w="6703" w:type="dxa"/>
            <w:noWrap w:val="0"/>
            <w:vAlign w:val="center"/>
          </w:tcPr>
          <w:p>
            <w:pPr>
              <w:pStyle w:val="4"/>
              <w:spacing w:line="300" w:lineRule="exact"/>
              <w:jc w:val="both"/>
              <w:rPr>
                <w:rFonts w:hint="eastAsia"/>
                <w:sz w:val="21"/>
                <w:szCs w:val="21"/>
              </w:rPr>
            </w:pPr>
            <w:r>
              <w:rPr>
                <w:rFonts w:hint="eastAsia"/>
                <w:sz w:val="21"/>
                <w:szCs w:val="21"/>
              </w:rPr>
              <w:t>未研究部署贯彻落实有关安全生产工作会议精神的，扣3分。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48" w:type="dxa"/>
            <w:noWrap w:val="0"/>
            <w:vAlign w:val="center"/>
          </w:tcPr>
          <w:p>
            <w:pPr>
              <w:pStyle w:val="4"/>
              <w:jc w:val="center"/>
              <w:rPr>
                <w:rFonts w:hint="eastAsia"/>
                <w:sz w:val="28"/>
                <w:szCs w:val="28"/>
              </w:rPr>
            </w:pPr>
            <w:r>
              <w:rPr>
                <w:rFonts w:hint="eastAsia"/>
                <w:sz w:val="28"/>
                <w:szCs w:val="28"/>
              </w:rPr>
              <w:t>2</w:t>
            </w:r>
          </w:p>
        </w:tc>
        <w:tc>
          <w:tcPr>
            <w:tcW w:w="6703" w:type="dxa"/>
            <w:noWrap w:val="0"/>
            <w:vAlign w:val="center"/>
          </w:tcPr>
          <w:p>
            <w:pPr>
              <w:pStyle w:val="4"/>
              <w:spacing w:line="300" w:lineRule="exact"/>
              <w:jc w:val="both"/>
              <w:rPr>
                <w:rFonts w:hint="eastAsia"/>
                <w:sz w:val="21"/>
                <w:szCs w:val="21"/>
              </w:rPr>
            </w:pPr>
            <w:r>
              <w:rPr>
                <w:rFonts w:hint="eastAsia"/>
                <w:sz w:val="21"/>
                <w:szCs w:val="21"/>
              </w:rPr>
              <w:t>未层层签订安全生产责任状，分解工作任务，严格落实并兑现安全生产责任制的，酌情扣1-3分。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48" w:type="dxa"/>
            <w:noWrap w:val="0"/>
            <w:vAlign w:val="center"/>
          </w:tcPr>
          <w:p>
            <w:pPr>
              <w:pStyle w:val="4"/>
              <w:jc w:val="center"/>
              <w:rPr>
                <w:rFonts w:hint="eastAsia"/>
                <w:sz w:val="28"/>
                <w:szCs w:val="28"/>
              </w:rPr>
            </w:pPr>
            <w:r>
              <w:rPr>
                <w:rFonts w:hint="eastAsia"/>
                <w:sz w:val="28"/>
                <w:szCs w:val="28"/>
              </w:rPr>
              <w:t>3</w:t>
            </w:r>
          </w:p>
        </w:tc>
        <w:tc>
          <w:tcPr>
            <w:tcW w:w="6703" w:type="dxa"/>
            <w:noWrap w:val="0"/>
            <w:vAlign w:val="center"/>
          </w:tcPr>
          <w:p>
            <w:pPr>
              <w:pStyle w:val="4"/>
              <w:spacing w:line="300" w:lineRule="exact"/>
              <w:jc w:val="both"/>
              <w:rPr>
                <w:rFonts w:hint="eastAsia"/>
                <w:sz w:val="21"/>
                <w:szCs w:val="21"/>
              </w:rPr>
            </w:pPr>
            <w:r>
              <w:rPr>
                <w:rFonts w:hint="eastAsia"/>
                <w:sz w:val="21"/>
                <w:szCs w:val="21"/>
              </w:rPr>
              <w:t>局务会议每年至少2次专题研究安全生产工作（包括本单位机关）形成纪要并报市商务局，每少1次扣1分；不报送扣3分。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648" w:type="dxa"/>
            <w:noWrap w:val="0"/>
            <w:vAlign w:val="center"/>
          </w:tcPr>
          <w:p>
            <w:pPr>
              <w:pStyle w:val="4"/>
              <w:jc w:val="center"/>
              <w:rPr>
                <w:rFonts w:hint="eastAsia"/>
                <w:sz w:val="28"/>
                <w:szCs w:val="28"/>
              </w:rPr>
            </w:pPr>
            <w:r>
              <w:rPr>
                <w:rFonts w:hint="eastAsia"/>
                <w:sz w:val="28"/>
                <w:szCs w:val="28"/>
              </w:rPr>
              <w:t>4</w:t>
            </w:r>
          </w:p>
        </w:tc>
        <w:tc>
          <w:tcPr>
            <w:tcW w:w="6703" w:type="dxa"/>
            <w:noWrap w:val="0"/>
            <w:vAlign w:val="center"/>
          </w:tcPr>
          <w:p>
            <w:pPr>
              <w:pStyle w:val="4"/>
              <w:spacing w:line="300" w:lineRule="exact"/>
              <w:jc w:val="both"/>
              <w:rPr>
                <w:rFonts w:hint="eastAsia"/>
                <w:sz w:val="21"/>
                <w:szCs w:val="21"/>
              </w:rPr>
            </w:pPr>
            <w:r>
              <w:rPr>
                <w:rFonts w:hint="eastAsia"/>
                <w:sz w:val="21"/>
                <w:szCs w:val="21"/>
              </w:rPr>
              <w:t>未按《湖南省安全生产监督管理职责规定》、《常德市安全生产委员会成员单位安全生产工作职责分工》和市委、市政府、市安委会（办）的要求切实履责，不认真组织或积极参与隐患排查治理、安全生产督查、驻点督导、打非治违、专项整治、宣传教育、应急救援、事故调查、示范创建工作以及其他安全生产相关工作的，每项酌情扣1-4分；不按文件规定报送相关资料报表的，每次扣0.5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648" w:type="dxa"/>
            <w:noWrap w:val="0"/>
            <w:vAlign w:val="center"/>
          </w:tcPr>
          <w:p>
            <w:pPr>
              <w:pStyle w:val="4"/>
              <w:jc w:val="center"/>
              <w:rPr>
                <w:rFonts w:hint="eastAsia"/>
                <w:sz w:val="28"/>
                <w:szCs w:val="28"/>
              </w:rPr>
            </w:pPr>
            <w:r>
              <w:rPr>
                <w:rFonts w:hint="eastAsia"/>
                <w:sz w:val="28"/>
                <w:szCs w:val="28"/>
              </w:rPr>
              <w:t>5</w:t>
            </w:r>
          </w:p>
        </w:tc>
        <w:tc>
          <w:tcPr>
            <w:tcW w:w="6703" w:type="dxa"/>
            <w:noWrap w:val="0"/>
            <w:vAlign w:val="center"/>
          </w:tcPr>
          <w:p>
            <w:pPr>
              <w:pStyle w:val="4"/>
              <w:spacing w:line="300" w:lineRule="exact"/>
              <w:jc w:val="both"/>
              <w:rPr>
                <w:rFonts w:hint="eastAsia"/>
                <w:sz w:val="21"/>
                <w:szCs w:val="21"/>
              </w:rPr>
            </w:pPr>
            <w:r>
              <w:rPr>
                <w:rFonts w:hint="eastAsia"/>
                <w:sz w:val="21"/>
                <w:szCs w:val="21"/>
              </w:rPr>
              <w:t xml:space="preserve">未制定安全生产大检查和百日整治大会战工作实施方案的，扣5分； 未成立以安委会主任为组长的领导小组的，扣2分；自查自改工作不落实，被上级通报或媒体曝光的，发现1处扣1分；对检查发现的突出问题和重大隐患不认真整改治理的，发现1处扣2分；不按规定报送工作情况和相关信息的，酌情扣1-2分；未组织学习宣贯《中共中央 国务院关于推进安全生产领域改革发展的意见》的，扣2分。 </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48" w:type="dxa"/>
            <w:noWrap w:val="0"/>
            <w:vAlign w:val="center"/>
          </w:tcPr>
          <w:p>
            <w:pPr>
              <w:pStyle w:val="4"/>
              <w:jc w:val="center"/>
              <w:rPr>
                <w:rFonts w:hint="eastAsia"/>
                <w:sz w:val="28"/>
                <w:szCs w:val="28"/>
              </w:rPr>
            </w:pPr>
            <w:r>
              <w:rPr>
                <w:rFonts w:hint="eastAsia"/>
                <w:sz w:val="28"/>
                <w:szCs w:val="28"/>
              </w:rPr>
              <w:t>6</w:t>
            </w:r>
          </w:p>
        </w:tc>
        <w:tc>
          <w:tcPr>
            <w:tcW w:w="6703" w:type="dxa"/>
            <w:noWrap w:val="0"/>
            <w:vAlign w:val="center"/>
          </w:tcPr>
          <w:p>
            <w:pPr>
              <w:pStyle w:val="4"/>
              <w:spacing w:line="300" w:lineRule="exact"/>
              <w:jc w:val="both"/>
              <w:rPr>
                <w:rFonts w:hint="eastAsia"/>
                <w:sz w:val="21"/>
                <w:szCs w:val="21"/>
              </w:rPr>
            </w:pPr>
            <w:r>
              <w:rPr>
                <w:rFonts w:hint="eastAsia"/>
                <w:sz w:val="21"/>
                <w:szCs w:val="21"/>
              </w:rPr>
              <w:t>系统内企业、单位发生事故后未按规定赶赴现场督导的，每次扣3分；不按规定参加有关安全生产会议的，每次扣3分。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48" w:type="dxa"/>
            <w:noWrap w:val="0"/>
            <w:vAlign w:val="center"/>
          </w:tcPr>
          <w:p>
            <w:pPr>
              <w:pStyle w:val="4"/>
              <w:jc w:val="center"/>
              <w:rPr>
                <w:rFonts w:hint="eastAsia"/>
                <w:sz w:val="28"/>
                <w:szCs w:val="28"/>
              </w:rPr>
            </w:pPr>
            <w:r>
              <w:rPr>
                <w:rFonts w:hint="eastAsia"/>
                <w:sz w:val="28"/>
                <w:szCs w:val="28"/>
              </w:rPr>
              <w:t>7</w:t>
            </w:r>
          </w:p>
        </w:tc>
        <w:tc>
          <w:tcPr>
            <w:tcW w:w="6703" w:type="dxa"/>
            <w:noWrap w:val="0"/>
            <w:vAlign w:val="center"/>
          </w:tcPr>
          <w:p>
            <w:pPr>
              <w:pStyle w:val="4"/>
              <w:spacing w:line="300" w:lineRule="exact"/>
              <w:jc w:val="both"/>
              <w:rPr>
                <w:rFonts w:hint="eastAsia"/>
                <w:sz w:val="21"/>
                <w:szCs w:val="21"/>
              </w:rPr>
            </w:pPr>
            <w:r>
              <w:rPr>
                <w:rFonts w:hint="eastAsia"/>
                <w:sz w:val="21"/>
                <w:szCs w:val="21"/>
              </w:rPr>
              <w:t>未认真开展机关及所属单位安全生产教育培训并报市商务局的，酌情扣1-3分。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648" w:type="dxa"/>
            <w:noWrap w:val="0"/>
            <w:vAlign w:val="center"/>
          </w:tcPr>
          <w:p>
            <w:pPr>
              <w:pStyle w:val="4"/>
              <w:jc w:val="center"/>
              <w:rPr>
                <w:rFonts w:hint="eastAsia"/>
                <w:sz w:val="28"/>
                <w:szCs w:val="28"/>
              </w:rPr>
            </w:pPr>
            <w:r>
              <w:rPr>
                <w:rFonts w:hint="eastAsia"/>
                <w:sz w:val="28"/>
                <w:szCs w:val="28"/>
              </w:rPr>
              <w:t>8</w:t>
            </w:r>
          </w:p>
        </w:tc>
        <w:tc>
          <w:tcPr>
            <w:tcW w:w="6703" w:type="dxa"/>
            <w:noWrap w:val="0"/>
            <w:vAlign w:val="center"/>
          </w:tcPr>
          <w:p>
            <w:pPr>
              <w:pStyle w:val="4"/>
              <w:spacing w:line="300" w:lineRule="exact"/>
              <w:jc w:val="both"/>
              <w:rPr>
                <w:rFonts w:hint="eastAsia"/>
                <w:sz w:val="21"/>
                <w:szCs w:val="21"/>
              </w:rPr>
            </w:pPr>
            <w:r>
              <w:rPr>
                <w:rFonts w:hint="eastAsia"/>
                <w:sz w:val="21"/>
                <w:szCs w:val="21"/>
              </w:rPr>
              <w:t>对直属单位及机关本部每年开展安全检查至少4次（情况及时报市商务局），每少1次扣3分；不报送情况每次扣1分。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48" w:type="dxa"/>
            <w:noWrap w:val="0"/>
            <w:vAlign w:val="center"/>
          </w:tcPr>
          <w:p>
            <w:pPr>
              <w:pStyle w:val="4"/>
              <w:jc w:val="center"/>
              <w:rPr>
                <w:rFonts w:hint="eastAsia"/>
                <w:sz w:val="28"/>
                <w:szCs w:val="28"/>
              </w:rPr>
            </w:pPr>
            <w:r>
              <w:rPr>
                <w:rFonts w:hint="eastAsia"/>
                <w:sz w:val="28"/>
                <w:szCs w:val="28"/>
              </w:rPr>
              <w:t>9</w:t>
            </w:r>
          </w:p>
        </w:tc>
        <w:tc>
          <w:tcPr>
            <w:tcW w:w="6703" w:type="dxa"/>
            <w:noWrap w:val="0"/>
            <w:vAlign w:val="center"/>
          </w:tcPr>
          <w:p>
            <w:pPr>
              <w:pStyle w:val="4"/>
              <w:spacing w:line="300" w:lineRule="exact"/>
              <w:jc w:val="both"/>
              <w:rPr>
                <w:rFonts w:hint="eastAsia"/>
                <w:sz w:val="21"/>
                <w:szCs w:val="21"/>
              </w:rPr>
            </w:pPr>
            <w:r>
              <w:rPr>
                <w:rFonts w:hint="eastAsia"/>
                <w:sz w:val="21"/>
                <w:szCs w:val="21"/>
              </w:rPr>
              <w:t>未配合落实安全生产领域失信行为联合惩戒和“黑名单”管理约束措施的，发现1处扣2分。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48" w:type="dxa"/>
            <w:noWrap w:val="0"/>
            <w:vAlign w:val="center"/>
          </w:tcPr>
          <w:p>
            <w:pPr>
              <w:pStyle w:val="4"/>
              <w:jc w:val="center"/>
              <w:rPr>
                <w:rFonts w:hint="eastAsia"/>
                <w:sz w:val="28"/>
                <w:szCs w:val="28"/>
              </w:rPr>
            </w:pPr>
            <w:r>
              <w:rPr>
                <w:rFonts w:hint="eastAsia"/>
                <w:sz w:val="28"/>
                <w:szCs w:val="28"/>
              </w:rPr>
              <w:t>10</w:t>
            </w:r>
          </w:p>
        </w:tc>
        <w:tc>
          <w:tcPr>
            <w:tcW w:w="6703" w:type="dxa"/>
            <w:noWrap w:val="0"/>
            <w:vAlign w:val="center"/>
          </w:tcPr>
          <w:p>
            <w:pPr>
              <w:pStyle w:val="4"/>
              <w:spacing w:line="300" w:lineRule="exact"/>
              <w:jc w:val="both"/>
              <w:rPr>
                <w:rFonts w:hint="eastAsia"/>
                <w:sz w:val="21"/>
                <w:szCs w:val="21"/>
              </w:rPr>
            </w:pPr>
            <w:r>
              <w:rPr>
                <w:rFonts w:hint="eastAsia"/>
                <w:sz w:val="21"/>
                <w:szCs w:val="21"/>
              </w:rPr>
              <w:t>未按规定妥善处理安全生产信访事项导致严重后果的，每起扣2分；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48" w:type="dxa"/>
            <w:noWrap w:val="0"/>
            <w:vAlign w:val="center"/>
          </w:tcPr>
          <w:p>
            <w:pPr>
              <w:pStyle w:val="4"/>
              <w:jc w:val="center"/>
              <w:rPr>
                <w:rFonts w:hint="eastAsia"/>
                <w:sz w:val="28"/>
                <w:szCs w:val="28"/>
              </w:rPr>
            </w:pPr>
            <w:r>
              <w:rPr>
                <w:rFonts w:hint="eastAsia"/>
                <w:sz w:val="28"/>
                <w:szCs w:val="28"/>
              </w:rPr>
              <w:t>11</w:t>
            </w:r>
          </w:p>
        </w:tc>
        <w:tc>
          <w:tcPr>
            <w:tcW w:w="6703" w:type="dxa"/>
            <w:noWrap w:val="0"/>
            <w:vAlign w:val="center"/>
          </w:tcPr>
          <w:p>
            <w:pPr>
              <w:pStyle w:val="4"/>
              <w:spacing w:line="300" w:lineRule="exact"/>
              <w:jc w:val="both"/>
              <w:rPr>
                <w:rFonts w:hint="eastAsia"/>
                <w:sz w:val="21"/>
                <w:szCs w:val="21"/>
              </w:rPr>
            </w:pPr>
            <w:r>
              <w:rPr>
                <w:rFonts w:hint="eastAsia"/>
                <w:sz w:val="21"/>
                <w:szCs w:val="21"/>
              </w:rPr>
              <w:t>机关本部和直属单位发生一般死亡事故（含性质恶劣无人员伤亡事故），每起扣20分，给予“黄牌警告”；发生较大及以上事故，扣40分，实行“一票否决”。</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48" w:type="dxa"/>
            <w:noWrap w:val="0"/>
            <w:vAlign w:val="center"/>
          </w:tcPr>
          <w:p>
            <w:pPr>
              <w:pStyle w:val="4"/>
              <w:jc w:val="center"/>
              <w:rPr>
                <w:rFonts w:hint="eastAsia"/>
                <w:sz w:val="28"/>
                <w:szCs w:val="28"/>
              </w:rPr>
            </w:pPr>
            <w:r>
              <w:rPr>
                <w:rFonts w:hint="eastAsia"/>
                <w:sz w:val="28"/>
                <w:szCs w:val="28"/>
              </w:rPr>
              <w:t>12</w:t>
            </w:r>
          </w:p>
        </w:tc>
        <w:tc>
          <w:tcPr>
            <w:tcW w:w="6703" w:type="dxa"/>
            <w:noWrap w:val="0"/>
            <w:vAlign w:val="center"/>
          </w:tcPr>
          <w:p>
            <w:pPr>
              <w:pStyle w:val="4"/>
              <w:spacing w:line="300" w:lineRule="exact"/>
              <w:jc w:val="both"/>
              <w:rPr>
                <w:rFonts w:hint="eastAsia"/>
                <w:sz w:val="21"/>
                <w:szCs w:val="21"/>
              </w:rPr>
            </w:pPr>
            <w:r>
              <w:rPr>
                <w:rFonts w:hint="eastAsia"/>
                <w:sz w:val="21"/>
                <w:szCs w:val="21"/>
              </w:rPr>
              <w:t>瞒报、谎报事故，每起扣10分（其中较大及以上每起扣20分），取消评先资格；迟报、漏报事故，每起扣3分。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648" w:type="dxa"/>
            <w:noWrap w:val="0"/>
            <w:vAlign w:val="center"/>
          </w:tcPr>
          <w:p>
            <w:pPr>
              <w:jc w:val="center"/>
              <w:rPr>
                <w:rFonts w:hint="eastAsia" w:ascii="宋体" w:hAnsi="宋体"/>
                <w:sz w:val="28"/>
                <w:szCs w:val="28"/>
              </w:rPr>
            </w:pPr>
            <w:r>
              <w:rPr>
                <w:rFonts w:hint="eastAsia" w:ascii="宋体" w:hAnsi="宋体"/>
                <w:sz w:val="28"/>
                <w:szCs w:val="28"/>
              </w:rPr>
              <w:t>13</w:t>
            </w:r>
          </w:p>
        </w:tc>
        <w:tc>
          <w:tcPr>
            <w:tcW w:w="6703" w:type="dxa"/>
            <w:noWrap w:val="0"/>
            <w:vAlign w:val="center"/>
          </w:tcPr>
          <w:p>
            <w:pPr>
              <w:pStyle w:val="4"/>
              <w:spacing w:line="300" w:lineRule="exact"/>
              <w:jc w:val="both"/>
              <w:rPr>
                <w:rFonts w:hint="eastAsia"/>
                <w:sz w:val="21"/>
                <w:szCs w:val="21"/>
              </w:rPr>
            </w:pPr>
            <w:r>
              <w:rPr>
                <w:rFonts w:hint="eastAsia"/>
                <w:sz w:val="21"/>
                <w:szCs w:val="21"/>
              </w:rPr>
              <w:t>组织部署全系统对大型商场、大型市场每年至少开展2次以上专项安全检查，少1次扣3分。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648" w:type="dxa"/>
            <w:noWrap w:val="0"/>
            <w:vAlign w:val="center"/>
          </w:tcPr>
          <w:p>
            <w:pPr>
              <w:jc w:val="center"/>
              <w:rPr>
                <w:rFonts w:hint="eastAsia" w:ascii="宋体" w:hAnsi="宋体"/>
                <w:sz w:val="28"/>
                <w:szCs w:val="28"/>
              </w:rPr>
            </w:pPr>
            <w:r>
              <w:rPr>
                <w:rFonts w:hint="eastAsia" w:ascii="宋体" w:hAnsi="宋体"/>
                <w:sz w:val="28"/>
                <w:szCs w:val="28"/>
              </w:rPr>
              <w:t>14</w:t>
            </w:r>
          </w:p>
        </w:tc>
        <w:tc>
          <w:tcPr>
            <w:tcW w:w="6703" w:type="dxa"/>
            <w:noWrap w:val="0"/>
            <w:vAlign w:val="center"/>
          </w:tcPr>
          <w:p>
            <w:pPr>
              <w:pStyle w:val="4"/>
              <w:spacing w:line="300" w:lineRule="exact"/>
              <w:jc w:val="both"/>
              <w:rPr>
                <w:rFonts w:hint="eastAsia"/>
                <w:sz w:val="21"/>
                <w:szCs w:val="21"/>
              </w:rPr>
            </w:pPr>
            <w:r>
              <w:rPr>
                <w:rFonts w:hint="eastAsia"/>
                <w:sz w:val="21"/>
                <w:szCs w:val="21"/>
              </w:rPr>
              <w:t>未督促大型商场、市场和相关企业依法执行安全设施与职业卫生“三同时”制度，扣5分；未积极推广智慧用电技术，导致区域内商贸流通企业未安装智慧用电设备达40%以上的，酌情扣1-5分。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48" w:type="dxa"/>
            <w:noWrap w:val="0"/>
            <w:vAlign w:val="center"/>
          </w:tcPr>
          <w:p>
            <w:pPr>
              <w:jc w:val="center"/>
              <w:rPr>
                <w:rFonts w:hint="eastAsia" w:ascii="宋体" w:hAnsi="宋体"/>
                <w:sz w:val="28"/>
                <w:szCs w:val="28"/>
              </w:rPr>
            </w:pPr>
            <w:r>
              <w:rPr>
                <w:rFonts w:hint="eastAsia" w:ascii="宋体" w:hAnsi="宋体"/>
                <w:sz w:val="28"/>
                <w:szCs w:val="28"/>
              </w:rPr>
              <w:t>15</w:t>
            </w:r>
          </w:p>
        </w:tc>
        <w:tc>
          <w:tcPr>
            <w:tcW w:w="6703" w:type="dxa"/>
            <w:noWrap w:val="0"/>
            <w:vAlign w:val="center"/>
          </w:tcPr>
          <w:p>
            <w:pPr>
              <w:pStyle w:val="4"/>
              <w:spacing w:line="300" w:lineRule="exact"/>
              <w:jc w:val="both"/>
              <w:rPr>
                <w:rFonts w:hint="eastAsia"/>
                <w:sz w:val="21"/>
                <w:szCs w:val="21"/>
              </w:rPr>
            </w:pPr>
            <w:r>
              <w:rPr>
                <w:rFonts w:hint="eastAsia"/>
                <w:sz w:val="21"/>
                <w:szCs w:val="21"/>
              </w:rPr>
              <w:t>未认真组织开展再生资源回收行业专项整治和非法加油站整治行动，废旧金属非法冶炼回收、非法加油现象严重的，酌情扣1-3分；未按文件要求的时间节点完成马路市场集中整治相关工作任务的，酌情扣1-3分。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648" w:type="dxa"/>
            <w:noWrap w:val="0"/>
            <w:vAlign w:val="center"/>
          </w:tcPr>
          <w:p>
            <w:pPr>
              <w:jc w:val="center"/>
              <w:rPr>
                <w:rFonts w:hint="eastAsia" w:ascii="宋体" w:hAnsi="宋体"/>
                <w:sz w:val="28"/>
                <w:szCs w:val="28"/>
              </w:rPr>
            </w:pPr>
            <w:r>
              <w:rPr>
                <w:rFonts w:hint="eastAsia" w:ascii="宋体" w:hAnsi="宋体"/>
                <w:sz w:val="28"/>
                <w:szCs w:val="28"/>
              </w:rPr>
              <w:t>16</w:t>
            </w:r>
          </w:p>
        </w:tc>
        <w:tc>
          <w:tcPr>
            <w:tcW w:w="6703" w:type="dxa"/>
            <w:noWrap w:val="0"/>
            <w:vAlign w:val="center"/>
          </w:tcPr>
          <w:p>
            <w:pPr>
              <w:pStyle w:val="4"/>
              <w:spacing w:line="300" w:lineRule="exact"/>
              <w:jc w:val="both"/>
              <w:rPr>
                <w:rFonts w:hint="eastAsia"/>
                <w:sz w:val="21"/>
                <w:szCs w:val="21"/>
              </w:rPr>
            </w:pPr>
            <w:r>
              <w:rPr>
                <w:rFonts w:hint="eastAsia"/>
                <w:sz w:val="21"/>
                <w:szCs w:val="21"/>
              </w:rPr>
              <w:t>未对典型案例和事故隐患进行曝光的。成员单位至少每季度曝光一次，每次不少于5个，每少一个扣2分。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648" w:type="dxa"/>
            <w:noWrap w:val="0"/>
            <w:vAlign w:val="center"/>
          </w:tcPr>
          <w:p>
            <w:pPr>
              <w:jc w:val="center"/>
              <w:rPr>
                <w:rFonts w:hint="eastAsia" w:ascii="宋体" w:hAnsi="宋体"/>
                <w:sz w:val="28"/>
                <w:szCs w:val="28"/>
              </w:rPr>
            </w:pPr>
            <w:r>
              <w:rPr>
                <w:rFonts w:hint="eastAsia" w:ascii="宋体" w:hAnsi="宋体"/>
                <w:sz w:val="28"/>
                <w:szCs w:val="28"/>
              </w:rPr>
              <w:t>17</w:t>
            </w:r>
          </w:p>
        </w:tc>
        <w:tc>
          <w:tcPr>
            <w:tcW w:w="6703" w:type="dxa"/>
            <w:noWrap w:val="0"/>
            <w:vAlign w:val="center"/>
          </w:tcPr>
          <w:p>
            <w:pPr>
              <w:pStyle w:val="4"/>
              <w:spacing w:line="300" w:lineRule="exact"/>
              <w:jc w:val="both"/>
              <w:rPr>
                <w:rFonts w:hint="eastAsia"/>
                <w:sz w:val="21"/>
                <w:szCs w:val="21"/>
              </w:rPr>
            </w:pPr>
            <w:r>
              <w:rPr>
                <w:rFonts w:hint="eastAsia"/>
                <w:sz w:val="21"/>
                <w:szCs w:val="21"/>
              </w:rPr>
              <w:t>国家安全发展示范城市创建。对交办的国家安全发展示范城市创建工作任务清单未落实到位的，每项扣5分；因所管行业领域安全生产管理工作不到位影响我市国家安全示范城市创建工作的，每起扣6分。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48" w:type="dxa"/>
            <w:noWrap w:val="0"/>
            <w:vAlign w:val="center"/>
          </w:tcPr>
          <w:p>
            <w:pPr>
              <w:jc w:val="center"/>
              <w:rPr>
                <w:rFonts w:hint="eastAsia" w:ascii="宋体" w:hAnsi="宋体"/>
                <w:sz w:val="28"/>
                <w:szCs w:val="28"/>
              </w:rPr>
            </w:pPr>
            <w:r>
              <w:rPr>
                <w:rFonts w:hint="eastAsia" w:ascii="宋体" w:hAnsi="宋体"/>
                <w:sz w:val="28"/>
                <w:szCs w:val="28"/>
              </w:rPr>
              <w:t>18</w:t>
            </w:r>
          </w:p>
        </w:tc>
        <w:tc>
          <w:tcPr>
            <w:tcW w:w="6703" w:type="dxa"/>
            <w:noWrap w:val="0"/>
            <w:vAlign w:val="center"/>
          </w:tcPr>
          <w:p>
            <w:pPr>
              <w:pStyle w:val="4"/>
              <w:spacing w:line="300" w:lineRule="exact"/>
              <w:jc w:val="both"/>
              <w:rPr>
                <w:rFonts w:hint="eastAsia"/>
                <w:sz w:val="21"/>
                <w:szCs w:val="21"/>
              </w:rPr>
            </w:pPr>
            <w:r>
              <w:rPr>
                <w:rFonts w:hint="eastAsia"/>
                <w:sz w:val="21"/>
                <w:szCs w:val="21"/>
              </w:rPr>
              <w:t>未常态化、规范化开展“一单四制”工作的。并逐一进行交办和销号，实行台账管理和定期通报。至少每季度交办一次，成员单位每季度不少于5个，每少一个扣2分。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48" w:type="dxa"/>
            <w:noWrap w:val="0"/>
            <w:vAlign w:val="center"/>
          </w:tcPr>
          <w:p>
            <w:pPr>
              <w:jc w:val="center"/>
              <w:rPr>
                <w:rFonts w:hint="eastAsia" w:ascii="宋体" w:hAnsi="宋体"/>
                <w:sz w:val="28"/>
                <w:szCs w:val="28"/>
              </w:rPr>
            </w:pPr>
            <w:r>
              <w:rPr>
                <w:rFonts w:hint="eastAsia" w:ascii="宋体" w:hAnsi="宋体"/>
                <w:sz w:val="28"/>
                <w:szCs w:val="28"/>
              </w:rPr>
              <w:t>19</w:t>
            </w:r>
          </w:p>
        </w:tc>
        <w:tc>
          <w:tcPr>
            <w:tcW w:w="6703" w:type="dxa"/>
            <w:noWrap w:val="0"/>
            <w:vAlign w:val="center"/>
          </w:tcPr>
          <w:p>
            <w:pPr>
              <w:pStyle w:val="4"/>
              <w:spacing w:line="300" w:lineRule="exact"/>
              <w:jc w:val="both"/>
              <w:rPr>
                <w:rFonts w:hint="eastAsia"/>
                <w:sz w:val="21"/>
                <w:szCs w:val="21"/>
              </w:rPr>
            </w:pPr>
            <w:r>
              <w:rPr>
                <w:rFonts w:hint="eastAsia"/>
                <w:sz w:val="21"/>
                <w:szCs w:val="21"/>
              </w:rPr>
              <w:t>国家、省、市召开的会议未经请假同意无故缺席的，每次扣2分。代会的，每次扣1分；未按时有效完成交办工作任务的，每次扣2分。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48" w:type="dxa"/>
            <w:noWrap w:val="0"/>
            <w:vAlign w:val="center"/>
          </w:tcPr>
          <w:p>
            <w:pPr>
              <w:jc w:val="center"/>
              <w:rPr>
                <w:rFonts w:hint="eastAsia" w:ascii="宋体" w:hAnsi="宋体"/>
                <w:sz w:val="28"/>
                <w:szCs w:val="28"/>
              </w:rPr>
            </w:pPr>
            <w:r>
              <w:rPr>
                <w:rFonts w:hint="eastAsia" w:ascii="宋体" w:hAnsi="宋体"/>
                <w:sz w:val="28"/>
                <w:szCs w:val="28"/>
              </w:rPr>
              <w:t>20</w:t>
            </w:r>
          </w:p>
        </w:tc>
        <w:tc>
          <w:tcPr>
            <w:tcW w:w="6703" w:type="dxa"/>
            <w:noWrap w:val="0"/>
            <w:vAlign w:val="center"/>
          </w:tcPr>
          <w:p>
            <w:pPr>
              <w:pStyle w:val="4"/>
              <w:spacing w:line="300" w:lineRule="exact"/>
              <w:jc w:val="both"/>
              <w:rPr>
                <w:rFonts w:hint="eastAsia"/>
                <w:sz w:val="21"/>
                <w:szCs w:val="21"/>
              </w:rPr>
            </w:pPr>
            <w:r>
              <w:rPr>
                <w:rFonts w:hint="eastAsia"/>
                <w:sz w:val="21"/>
                <w:szCs w:val="21"/>
              </w:rPr>
              <w:t>负有考核任务的单位未按要求报送考核结果的，每次扣3分，考核结果未实现差异化的，每次扣2分，迟报、漏报的，每次扣1分。</w:t>
            </w: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c>
          <w:tcPr>
            <w:tcW w:w="720" w:type="dxa"/>
            <w:noWrap w:val="0"/>
            <w:vAlign w:val="center"/>
          </w:tcPr>
          <w:p>
            <w:pPr>
              <w:pStyle w:val="4"/>
              <w:jc w:val="center"/>
              <w:rPr>
                <w:rFonts w:hint="eastAsia"/>
                <w:sz w:val="18"/>
                <w:szCs w:val="18"/>
              </w:rPr>
            </w:pPr>
          </w:p>
        </w:tc>
      </w:tr>
    </w:tbl>
    <w:p>
      <w:pPr>
        <w:rPr>
          <w:rFonts w:eastAsia="仿宋_GB2312"/>
          <w:szCs w:val="32"/>
        </w:rPr>
      </w:pPr>
    </w:p>
    <w:p>
      <w:pPr>
        <w:rPr>
          <w:rFonts w:eastAsia="仿宋_GB2312"/>
          <w:szCs w:val="32"/>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588"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E6C2E"/>
    <w:rsid w:val="26DE6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semiHidden/>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2020-06-09T01:17:00Z</dcterms:created>
  <dc:creator>Administrator</dc:creator>
  <cp:lastModifiedBy>Administrator</cp:lastModifiedBy>
  <dcterms:modified xsi:type="dcterms:W3CDTF">2020-06-09T01:17:44Z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